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13" w:type="dxa"/>
        <w:tblLayout w:type="fixed"/>
        <w:tblLook w:val="01E0" w:firstRow="1" w:lastRow="1" w:firstColumn="1" w:lastColumn="1" w:noHBand="0" w:noVBand="0"/>
      </w:tblPr>
      <w:tblGrid>
        <w:gridCol w:w="4111"/>
        <w:gridCol w:w="677"/>
        <w:gridCol w:w="236"/>
        <w:gridCol w:w="3589"/>
      </w:tblGrid>
      <w:tr w:rsidR="007F7809" w:rsidRPr="009B03D3" w:rsidTr="00F23981">
        <w:trPr>
          <w:trHeight w:val="1113"/>
        </w:trPr>
        <w:tc>
          <w:tcPr>
            <w:tcW w:w="4788" w:type="dxa"/>
            <w:gridSpan w:val="2"/>
          </w:tcPr>
          <w:p w:rsidR="007F7809" w:rsidRPr="009B03D3" w:rsidRDefault="007F7809" w:rsidP="00C862A6">
            <w:pPr>
              <w:spacing w:line="360" w:lineRule="auto"/>
              <w:jc w:val="both"/>
            </w:pPr>
          </w:p>
        </w:tc>
        <w:tc>
          <w:tcPr>
            <w:tcW w:w="236" w:type="dxa"/>
          </w:tcPr>
          <w:p w:rsidR="007F7809" w:rsidRPr="009B03D3" w:rsidRDefault="007F7809" w:rsidP="00F23981">
            <w:pPr>
              <w:pStyle w:val="Firma"/>
              <w:spacing w:line="360" w:lineRule="auto"/>
              <w:rPr>
                <w:rFonts w:cs="Arial"/>
                <w:b w:val="0"/>
                <w:szCs w:val="20"/>
              </w:rPr>
            </w:pPr>
          </w:p>
        </w:tc>
        <w:tc>
          <w:tcPr>
            <w:tcW w:w="3589" w:type="dxa"/>
          </w:tcPr>
          <w:p w:rsidR="007F7809" w:rsidRPr="009B03D3" w:rsidRDefault="007F7809" w:rsidP="00F23981">
            <w:pPr>
              <w:spacing w:line="360" w:lineRule="auto"/>
              <w:jc w:val="right"/>
            </w:pPr>
          </w:p>
        </w:tc>
      </w:tr>
      <w:tr w:rsidR="007F7809" w:rsidRPr="009B03D3" w:rsidTr="00F23981">
        <w:trPr>
          <w:trHeight w:val="446"/>
        </w:trPr>
        <w:tc>
          <w:tcPr>
            <w:tcW w:w="8613" w:type="dxa"/>
            <w:gridSpan w:val="4"/>
          </w:tcPr>
          <w:p w:rsidR="007F7809" w:rsidRPr="009B03D3" w:rsidRDefault="007F7809" w:rsidP="00F23981">
            <w:pPr>
              <w:spacing w:line="360" w:lineRule="auto"/>
              <w:jc w:val="both"/>
            </w:pPr>
          </w:p>
        </w:tc>
      </w:tr>
      <w:tr w:rsidR="007F7809" w:rsidRPr="009B03D3" w:rsidTr="00F23981">
        <w:tc>
          <w:tcPr>
            <w:tcW w:w="4111" w:type="dxa"/>
          </w:tcPr>
          <w:p w:rsidR="007F7809" w:rsidRPr="009B03D3" w:rsidRDefault="007F7809" w:rsidP="00F23981">
            <w:pPr>
              <w:pStyle w:val="adres"/>
              <w:spacing w:line="360" w:lineRule="auto"/>
              <w:jc w:val="both"/>
              <w:rPr>
                <w:rFonts w:cs="Arial"/>
                <w:szCs w:val="20"/>
              </w:rPr>
            </w:pPr>
          </w:p>
        </w:tc>
        <w:tc>
          <w:tcPr>
            <w:tcW w:w="677" w:type="dxa"/>
          </w:tcPr>
          <w:p w:rsidR="007F7809" w:rsidRPr="009B03D3" w:rsidRDefault="007F7809" w:rsidP="00F23981">
            <w:pPr>
              <w:pStyle w:val="adres"/>
              <w:spacing w:line="360" w:lineRule="auto"/>
              <w:jc w:val="both"/>
              <w:rPr>
                <w:rFonts w:cs="Arial"/>
                <w:szCs w:val="20"/>
              </w:rPr>
            </w:pPr>
          </w:p>
        </w:tc>
        <w:tc>
          <w:tcPr>
            <w:tcW w:w="3825" w:type="dxa"/>
            <w:gridSpan w:val="2"/>
          </w:tcPr>
          <w:p w:rsidR="007F7809" w:rsidRPr="009B03D3" w:rsidRDefault="006E5117" w:rsidP="00F23981">
            <w:pPr>
              <w:pStyle w:val="adres"/>
              <w:spacing w:line="360" w:lineRule="auto"/>
              <w:ind w:left="916"/>
              <w:jc w:val="both"/>
              <w:rPr>
                <w:rFonts w:cs="Arial"/>
                <w:szCs w:val="20"/>
              </w:rPr>
            </w:pPr>
            <w:r>
              <w:rPr>
                <w:rFonts w:cs="Arial"/>
                <w:szCs w:val="20"/>
              </w:rPr>
              <w:t>Mielno dn. 18.12.2024</w:t>
            </w:r>
            <w:r w:rsidR="007F7809">
              <w:rPr>
                <w:rFonts w:cs="Arial"/>
                <w:szCs w:val="20"/>
              </w:rPr>
              <w:t xml:space="preserve"> </w:t>
            </w:r>
            <w:r w:rsidR="007F7809" w:rsidRPr="009B03D3">
              <w:rPr>
                <w:rFonts w:cs="Arial"/>
                <w:szCs w:val="20"/>
              </w:rPr>
              <w:t xml:space="preserve"> r.</w:t>
            </w:r>
          </w:p>
        </w:tc>
      </w:tr>
      <w:tr w:rsidR="007F7809" w:rsidRPr="009B03D3" w:rsidTr="00F23981">
        <w:trPr>
          <w:trHeight w:val="296"/>
        </w:trPr>
        <w:tc>
          <w:tcPr>
            <w:tcW w:w="4111" w:type="dxa"/>
          </w:tcPr>
          <w:p w:rsidR="007F7809" w:rsidRPr="009A59B7" w:rsidRDefault="007F7809" w:rsidP="00F23981">
            <w:pPr>
              <w:pStyle w:val="Nagwek"/>
              <w:spacing w:line="276" w:lineRule="auto"/>
            </w:pPr>
          </w:p>
        </w:tc>
        <w:tc>
          <w:tcPr>
            <w:tcW w:w="677" w:type="dxa"/>
          </w:tcPr>
          <w:p w:rsidR="007F7809" w:rsidRPr="009B03D3" w:rsidRDefault="007F7809" w:rsidP="00F23981">
            <w:pPr>
              <w:pStyle w:val="adres"/>
              <w:spacing w:line="360" w:lineRule="auto"/>
              <w:jc w:val="both"/>
              <w:rPr>
                <w:rFonts w:cs="Arial"/>
                <w:szCs w:val="20"/>
              </w:rPr>
            </w:pPr>
          </w:p>
        </w:tc>
        <w:tc>
          <w:tcPr>
            <w:tcW w:w="3825" w:type="dxa"/>
            <w:gridSpan w:val="2"/>
          </w:tcPr>
          <w:p w:rsidR="007F7809" w:rsidRPr="009B03D3" w:rsidRDefault="007F7809" w:rsidP="00F23981">
            <w:pPr>
              <w:pStyle w:val="adresodbiorcy"/>
              <w:spacing w:line="360" w:lineRule="auto"/>
              <w:jc w:val="both"/>
              <w:rPr>
                <w:rFonts w:cs="Arial"/>
                <w:szCs w:val="20"/>
              </w:rPr>
            </w:pPr>
          </w:p>
        </w:tc>
      </w:tr>
      <w:tr w:rsidR="007F7809" w:rsidRPr="009B03D3" w:rsidTr="00F23981">
        <w:trPr>
          <w:trHeight w:val="390"/>
        </w:trPr>
        <w:tc>
          <w:tcPr>
            <w:tcW w:w="8613" w:type="dxa"/>
            <w:gridSpan w:val="4"/>
          </w:tcPr>
          <w:p w:rsidR="007F7809" w:rsidRPr="009B03D3" w:rsidRDefault="007F7809" w:rsidP="00F23981">
            <w:pPr>
              <w:spacing w:line="360" w:lineRule="auto"/>
              <w:jc w:val="both"/>
            </w:pPr>
          </w:p>
        </w:tc>
      </w:tr>
      <w:tr w:rsidR="007F7809" w:rsidRPr="009B03D3" w:rsidTr="00F23981">
        <w:trPr>
          <w:trHeight w:val="5812"/>
        </w:trPr>
        <w:tc>
          <w:tcPr>
            <w:tcW w:w="8613" w:type="dxa"/>
            <w:gridSpan w:val="4"/>
          </w:tcPr>
          <w:p w:rsidR="007F7809" w:rsidRPr="009B03D3" w:rsidRDefault="007F7809" w:rsidP="00F23981">
            <w:pPr>
              <w:spacing w:line="360" w:lineRule="auto"/>
              <w:jc w:val="both"/>
            </w:pPr>
            <w:r w:rsidRPr="009B03D3">
              <w:t>Szanowni Państwo</w:t>
            </w:r>
          </w:p>
          <w:p w:rsidR="007F7809" w:rsidRDefault="007F7809" w:rsidP="00F23981">
            <w:pPr>
              <w:spacing w:line="360" w:lineRule="auto"/>
              <w:jc w:val="both"/>
            </w:pPr>
            <w:r>
              <w:t xml:space="preserve">Poniżej odpowiedzi na zadane pytania </w:t>
            </w:r>
            <w:r w:rsidR="00C862A6">
              <w:t xml:space="preserve">Wykonawcy  </w:t>
            </w:r>
            <w:r>
              <w:t>do postępowania „Kompleksowa dostawa gazu wraz z dystrybucją do Ośrodek Rehabilitacyjno-Wypoczyn</w:t>
            </w:r>
            <w:r w:rsidR="006E5117">
              <w:t>kowy „SYRENA” Mielno na rok 2025</w:t>
            </w:r>
            <w:r>
              <w:t xml:space="preserve"> „ Nr. </w:t>
            </w:r>
            <w:r w:rsidR="006E5117">
              <w:rPr>
                <w:b/>
              </w:rPr>
              <w:t>9/ZPG/2024</w:t>
            </w:r>
            <w:r>
              <w:t xml:space="preserve"> </w:t>
            </w:r>
            <w:bookmarkStart w:id="0" w:name="_GoBack"/>
            <w:bookmarkEnd w:id="0"/>
          </w:p>
          <w:p w:rsidR="006E5117" w:rsidRPr="005A0254" w:rsidRDefault="006E5117" w:rsidP="005A0254">
            <w:pPr>
              <w:pStyle w:val="Akapitzlist"/>
              <w:numPr>
                <w:ilvl w:val="0"/>
                <w:numId w:val="9"/>
              </w:numPr>
              <w:spacing w:line="360" w:lineRule="auto"/>
              <w:jc w:val="both"/>
              <w:rPr>
                <w:color w:val="000000" w:themeColor="text1"/>
              </w:rPr>
            </w:pPr>
            <w:r w:rsidRPr="005A0254">
              <w:rPr>
                <w:color w:val="000000" w:themeColor="text1"/>
              </w:rPr>
              <w:t>Wykonawca prosi o informację, czy podane w dokumentacji przetargowej parametry dystrybucyjne tj. adresy punktów poboru, grupy taryfowe, moce umowne są zgodne z obecnie obowiązującymi u Operatora Systemu Dystrybucyjnego?</w:t>
            </w:r>
          </w:p>
          <w:p w:rsidR="006E5117" w:rsidRDefault="006E5117" w:rsidP="006E5117">
            <w:pPr>
              <w:spacing w:line="360" w:lineRule="auto"/>
              <w:jc w:val="both"/>
              <w:rPr>
                <w:color w:val="FF0000"/>
                <w:u w:val="single"/>
              </w:rPr>
            </w:pPr>
            <w:r>
              <w:t xml:space="preserve">             </w:t>
            </w:r>
            <w:r w:rsidRPr="006E5117">
              <w:rPr>
                <w:color w:val="FF0000"/>
                <w:u w:val="single"/>
              </w:rPr>
              <w:t xml:space="preserve">Odpowiedź : TAK </w:t>
            </w:r>
            <w:r>
              <w:rPr>
                <w:color w:val="FF0000"/>
                <w:u w:val="single"/>
              </w:rPr>
              <w:t xml:space="preserve">parametry są zgodne </w:t>
            </w:r>
            <w:r w:rsidRPr="006E5117">
              <w:rPr>
                <w:color w:val="FF0000"/>
                <w:u w:val="single"/>
              </w:rPr>
              <w:t xml:space="preserve"> </w:t>
            </w:r>
          </w:p>
          <w:p w:rsidR="006E5117" w:rsidRDefault="006E5117" w:rsidP="005A0254">
            <w:pPr>
              <w:pStyle w:val="Akapitzlist"/>
              <w:numPr>
                <w:ilvl w:val="0"/>
                <w:numId w:val="9"/>
              </w:numPr>
              <w:spacing w:line="360" w:lineRule="auto"/>
              <w:jc w:val="both"/>
            </w:pPr>
            <w:r w:rsidRPr="0077554E">
              <w:t>W przypadku jeśli Operator Systemu Dystrybucyjnego w momencie zgłaszania umowy do realizacji zakwestionuje grupę taryfową lub moc umowną wskazaną w postępowaniu, to czy Zamawiający wyrazi zgodę na dostosowanie grupy taryfowej oraz mocy umownej do obowiązujących u OSD?</w:t>
            </w:r>
          </w:p>
          <w:p w:rsidR="006E5117" w:rsidRPr="006E5117" w:rsidRDefault="006E5117" w:rsidP="006E5117">
            <w:pPr>
              <w:pStyle w:val="Akapitzlist"/>
              <w:spacing w:line="360" w:lineRule="auto"/>
              <w:jc w:val="both"/>
              <w:rPr>
                <w:color w:val="FF0000"/>
                <w:u w:val="single"/>
              </w:rPr>
            </w:pPr>
            <w:r w:rsidRPr="006E5117">
              <w:rPr>
                <w:color w:val="FF0000"/>
                <w:u w:val="single"/>
              </w:rPr>
              <w:t>Odpowiedź : Zamawiający wyrazi zgodę na dostosowanie grupy i mocy taryfowej</w:t>
            </w:r>
          </w:p>
          <w:p w:rsidR="006E5117" w:rsidRPr="0077554E" w:rsidRDefault="006E5117" w:rsidP="005A0254">
            <w:pPr>
              <w:pStyle w:val="Akapitzlist"/>
              <w:numPr>
                <w:ilvl w:val="0"/>
                <w:numId w:val="9"/>
              </w:numPr>
              <w:spacing w:line="360" w:lineRule="auto"/>
              <w:jc w:val="both"/>
            </w:pPr>
            <w:r w:rsidRPr="0077554E">
              <w:t>Czy w przypadku rozbieżności pomiędzy danymi w umowie przekazanymi przez Zamawianego odnośnie kwalifikacji danego punktu poboru paliwa gazowego do grupy taryfowej OSD i mocy umownej, a danymi przekazanymi przez OSD za dany okres rozliczeniowy w trakcie obowiązywania umowy, czy Zamawiający wyraża zgodę, aby rozliczanie opłat dystrybucyjnych odbywało się na podstawie kwalifikacji do danej grupy taryfowej przez OSD w danym okresie rozliczeniowym, a opłaty abonamentowe były rozliczane wg zasad i cen wynikających z cennika Wykonawcy dla danej grupy taryfowej?</w:t>
            </w:r>
          </w:p>
          <w:p w:rsidR="006E5117" w:rsidRDefault="006E5117" w:rsidP="006E5117">
            <w:pPr>
              <w:pStyle w:val="Akapitzlist"/>
              <w:spacing w:line="360" w:lineRule="auto"/>
              <w:jc w:val="both"/>
            </w:pPr>
            <w:r w:rsidRPr="0077554E">
              <w:t>Wyjaśniamy, że Wykonawca w ramach zawartej umowy kompleksowej (sprzedaż oraz dystrybucja paliwa gazowego) zobowiązany jest rozliczyć Obiorcę za świadczone usługi dystrybucji wg stawek opłat dystrybucyjnych właściwych dla grup taryfowych, do których został zakwalifikowany przez Operatora Systemu Dystrybucyjnego.</w:t>
            </w:r>
          </w:p>
          <w:p w:rsidR="006E5117" w:rsidRDefault="006E5117" w:rsidP="006E5117">
            <w:pPr>
              <w:pStyle w:val="Akapitzlist"/>
              <w:spacing w:line="360" w:lineRule="auto"/>
              <w:jc w:val="both"/>
              <w:rPr>
                <w:color w:val="FF0000"/>
              </w:rPr>
            </w:pPr>
            <w:r w:rsidRPr="006E5117">
              <w:rPr>
                <w:color w:val="FF0000"/>
              </w:rPr>
              <w:t xml:space="preserve">Odpowiedź : Tak Zamawiający wyraża zgodę </w:t>
            </w:r>
          </w:p>
          <w:p w:rsidR="006E5117" w:rsidRDefault="006E5117" w:rsidP="005A0254">
            <w:pPr>
              <w:pStyle w:val="Akapitzlist"/>
              <w:numPr>
                <w:ilvl w:val="0"/>
                <w:numId w:val="9"/>
              </w:numPr>
              <w:spacing w:line="360" w:lineRule="auto"/>
              <w:jc w:val="both"/>
            </w:pPr>
            <w:r w:rsidRPr="0077554E">
              <w:t>Czy Zamawiający wyraża zgodę na zawarcie umowy w formie korespondencyjnej?</w:t>
            </w:r>
          </w:p>
          <w:p w:rsidR="006E5117" w:rsidRDefault="006E5117" w:rsidP="006E5117">
            <w:pPr>
              <w:spacing w:line="360" w:lineRule="auto"/>
              <w:ind w:left="360"/>
              <w:jc w:val="both"/>
              <w:rPr>
                <w:color w:val="FF0000"/>
              </w:rPr>
            </w:pPr>
            <w:r>
              <w:t xml:space="preserve">       </w:t>
            </w:r>
            <w:r w:rsidRPr="006E5117">
              <w:rPr>
                <w:color w:val="FF0000"/>
              </w:rPr>
              <w:t xml:space="preserve">Odpowiedź : Tak Zamawiający wyraża zgodę </w:t>
            </w:r>
          </w:p>
          <w:p w:rsidR="006E5117" w:rsidRDefault="006E5117" w:rsidP="005A0254">
            <w:pPr>
              <w:pStyle w:val="Akapitzlist"/>
              <w:numPr>
                <w:ilvl w:val="0"/>
                <w:numId w:val="9"/>
              </w:numPr>
              <w:spacing w:line="360" w:lineRule="auto"/>
              <w:jc w:val="both"/>
            </w:pPr>
            <w:r w:rsidRPr="0077554E">
              <w:t>Czy Zamawiający wyraża zgodę na zawarcie umowy w formie elektronicznej z zastosowaniem kwalifikowanego podpisu elektronicznego?</w:t>
            </w:r>
          </w:p>
          <w:p w:rsidR="006E5117" w:rsidRDefault="006E5117" w:rsidP="006E5117">
            <w:pPr>
              <w:pStyle w:val="Akapitzlist"/>
              <w:spacing w:line="360" w:lineRule="auto"/>
              <w:jc w:val="both"/>
              <w:rPr>
                <w:color w:val="FF0000"/>
              </w:rPr>
            </w:pPr>
            <w:r w:rsidRPr="006E5117">
              <w:rPr>
                <w:color w:val="FF0000"/>
              </w:rPr>
              <w:t xml:space="preserve">Odpowiedź : </w:t>
            </w:r>
            <w:r>
              <w:rPr>
                <w:color w:val="FF0000"/>
              </w:rPr>
              <w:t>Zamawiający nie wyraża zgody . Forma papierowa opieczę</w:t>
            </w:r>
            <w:r w:rsidR="006065A0">
              <w:rPr>
                <w:color w:val="FF0000"/>
              </w:rPr>
              <w:t xml:space="preserve">towana i podpisana wysłana do Zamawiającego. </w:t>
            </w:r>
          </w:p>
          <w:p w:rsidR="006E5117" w:rsidRPr="006E5117" w:rsidRDefault="006E5117" w:rsidP="005A0254">
            <w:pPr>
              <w:pStyle w:val="Akapitzlist"/>
              <w:numPr>
                <w:ilvl w:val="0"/>
                <w:numId w:val="9"/>
              </w:numPr>
              <w:spacing w:line="360" w:lineRule="auto"/>
              <w:jc w:val="both"/>
              <w:rPr>
                <w:color w:val="000000" w:themeColor="text1"/>
              </w:rPr>
            </w:pPr>
            <w:r w:rsidRPr="006E5117">
              <w:rPr>
                <w:color w:val="000000" w:themeColor="text1"/>
              </w:rPr>
              <w:lastRenderedPageBreak/>
              <w:t>Czy Zamawiający ma zawarte umowy/aneksy w ramach akcji promocyjnych, które uniemożliwiają zawarcie nowej umowy sprzedażowej w terminach przewidzianych w SWZ?</w:t>
            </w:r>
          </w:p>
          <w:p w:rsidR="006E5117" w:rsidRDefault="006E5117" w:rsidP="006E5117">
            <w:pPr>
              <w:pStyle w:val="Akapitzlist"/>
              <w:spacing w:line="360" w:lineRule="auto"/>
              <w:jc w:val="both"/>
              <w:rPr>
                <w:color w:val="000000" w:themeColor="text1"/>
              </w:rPr>
            </w:pPr>
            <w:r w:rsidRPr="0077554E">
              <w:rPr>
                <w:color w:val="000000" w:themeColor="text1"/>
              </w:rPr>
              <w:t>Jeśli tak – jakie są terminy wypowiedzeń umów/aneksów promocyjnych?</w:t>
            </w:r>
          </w:p>
          <w:p w:rsidR="006E5117" w:rsidRDefault="006E5117" w:rsidP="006E5117">
            <w:pPr>
              <w:pStyle w:val="Akapitzlist"/>
              <w:spacing w:line="360" w:lineRule="auto"/>
              <w:jc w:val="both"/>
              <w:rPr>
                <w:color w:val="FF0000"/>
              </w:rPr>
            </w:pPr>
            <w:r w:rsidRPr="00156491">
              <w:rPr>
                <w:color w:val="FF0000"/>
              </w:rPr>
              <w:t xml:space="preserve">Odpowiedź: Zamawiający nie ma zawartych umów / aneksów w ramach akcji promocyjnych </w:t>
            </w:r>
          </w:p>
          <w:p w:rsidR="00156491" w:rsidRPr="00156491" w:rsidRDefault="00156491" w:rsidP="00156491">
            <w:pPr>
              <w:spacing w:line="360" w:lineRule="auto"/>
              <w:jc w:val="both"/>
              <w:rPr>
                <w:color w:val="FF0000"/>
              </w:rPr>
            </w:pPr>
          </w:p>
          <w:p w:rsidR="00156491" w:rsidRPr="0077554E" w:rsidRDefault="00156491" w:rsidP="005A0254">
            <w:pPr>
              <w:pStyle w:val="Akapitzlist"/>
              <w:numPr>
                <w:ilvl w:val="0"/>
                <w:numId w:val="9"/>
              </w:numPr>
              <w:spacing w:line="360" w:lineRule="auto"/>
              <w:jc w:val="both"/>
            </w:pPr>
            <w:r w:rsidRPr="0077554E">
              <w:t>Czy Zamawiający wyraża zgodę na otrzymywanie faktur poprzez bezpłatny, dedykowany portal Wykonawcy?</w:t>
            </w:r>
          </w:p>
          <w:p w:rsidR="00156491" w:rsidRDefault="00156491" w:rsidP="00156491">
            <w:pPr>
              <w:pStyle w:val="Akapitzlist"/>
              <w:spacing w:line="360" w:lineRule="auto"/>
              <w:jc w:val="both"/>
            </w:pPr>
            <w:r w:rsidRPr="0077554E">
              <w:t>Dzięki dostępowania do portalu będą mieli Państwo dostęp do faktur oraz różnych zestawień np. kwartalnych zużyć, salda.</w:t>
            </w:r>
          </w:p>
          <w:p w:rsidR="00156491" w:rsidRDefault="00156491" w:rsidP="00156491">
            <w:pPr>
              <w:spacing w:line="360" w:lineRule="auto"/>
              <w:ind w:left="360"/>
              <w:jc w:val="both"/>
              <w:rPr>
                <w:color w:val="FF0000"/>
              </w:rPr>
            </w:pPr>
            <w:r>
              <w:rPr>
                <w:color w:val="FF0000"/>
              </w:rPr>
              <w:t xml:space="preserve">       </w:t>
            </w:r>
            <w:r w:rsidRPr="006E5117">
              <w:rPr>
                <w:color w:val="FF0000"/>
              </w:rPr>
              <w:t xml:space="preserve">Odpowiedź : Tak Zamawiający wyraża zgodę </w:t>
            </w:r>
          </w:p>
          <w:p w:rsidR="00156491" w:rsidRDefault="00156491" w:rsidP="005A0254">
            <w:pPr>
              <w:pStyle w:val="Akapitzlist"/>
              <w:numPr>
                <w:ilvl w:val="0"/>
                <w:numId w:val="9"/>
              </w:numPr>
              <w:spacing w:line="360" w:lineRule="auto"/>
              <w:jc w:val="both"/>
            </w:pPr>
            <w:r w:rsidRPr="0077554E">
              <w:t>W związku z rozbieżnościami w SWZ (Rozdz. 5 pkt 5) i IPU, Wykonawca prosi ujednolicenie zapisów i o określenie ewentualnego odchylenia wolumenu względem zapotrzebowania podstawowego wskazanego w SWZ i OPZ do poziomu max +/- 10%.</w:t>
            </w:r>
          </w:p>
          <w:p w:rsidR="00156491" w:rsidRDefault="00156491" w:rsidP="00156491">
            <w:pPr>
              <w:pStyle w:val="Akapitzlist"/>
              <w:spacing w:line="360" w:lineRule="auto"/>
              <w:jc w:val="both"/>
              <w:rPr>
                <w:color w:val="FF0000"/>
              </w:rPr>
            </w:pPr>
            <w:r w:rsidRPr="00DE59E9">
              <w:rPr>
                <w:color w:val="FF0000"/>
              </w:rPr>
              <w:t>Odpo</w:t>
            </w:r>
            <w:r w:rsidR="00DE59E9">
              <w:rPr>
                <w:color w:val="FF0000"/>
              </w:rPr>
              <w:t>wied</w:t>
            </w:r>
            <w:r w:rsidR="00DE59E9" w:rsidRPr="006E5117">
              <w:rPr>
                <w:color w:val="FF0000"/>
              </w:rPr>
              <w:t>ź</w:t>
            </w:r>
            <w:r w:rsidRPr="00DE59E9">
              <w:rPr>
                <w:color w:val="FF0000"/>
              </w:rPr>
              <w:t xml:space="preserve"> : Zapis został ujednolicony do +/- 20% SWZ oraz IPU </w:t>
            </w:r>
            <w:r w:rsidR="00DE59E9" w:rsidRPr="00DE59E9">
              <w:rPr>
                <w:color w:val="FF0000"/>
              </w:rPr>
              <w:t xml:space="preserve">§ 5 pkt 5 </w:t>
            </w:r>
          </w:p>
          <w:p w:rsidR="00DE59E9" w:rsidRPr="00DE59E9" w:rsidRDefault="00DE59E9" w:rsidP="005A0254">
            <w:pPr>
              <w:pStyle w:val="Akapitzlist"/>
              <w:widowControl/>
              <w:numPr>
                <w:ilvl w:val="0"/>
                <w:numId w:val="9"/>
              </w:numPr>
              <w:autoSpaceDE/>
              <w:autoSpaceDN/>
              <w:adjustRightInd/>
              <w:spacing w:after="120" w:line="360" w:lineRule="auto"/>
              <w:jc w:val="both"/>
              <w:rPr>
                <w:color w:val="000000" w:themeColor="text1"/>
              </w:rPr>
            </w:pPr>
            <w:r w:rsidRPr="0077554E">
              <w:rPr>
                <w:color w:val="000000" w:themeColor="text1"/>
              </w:rPr>
              <w:t xml:space="preserve">Czy w świetle obowiązującej od dnia 26 stycznia 2022 r. ustawy o szczególnych rozwiązaniach służących ochronie odbiorców paliw gazowych w związku z sytuacją na rynku gazu (Dz. U. z 2022 r., poz. 202), Zamawiający oczekuje zastosowania ceny  jednostkowej za dostarczone paliwo gazowe zgodnie z uregulowaniami zawartymi             w cytowanej powyżej ustawie dla Punktów Poboru Gazu, objętych postępowaniem?  Jeżeli tak, to Wykonawca informuje, iż zastosowanie ceny taryfowej możliwe jest pod warunkiem złożenia przez Zamawiającego oświadczenia, które powinno być dołączone do dokumentacji przetargowej na etapie ogłaszania przetargu. </w:t>
            </w:r>
            <w:r w:rsidRPr="0077554E">
              <w:rPr>
                <w:b/>
                <w:color w:val="000000" w:themeColor="text1"/>
              </w:rPr>
              <w:t>Dodatkowo, Wykonawca prosi o wskazanie wartości procentowej dla wolumenu podlegającego ochronie.</w:t>
            </w:r>
          </w:p>
          <w:p w:rsidR="00DE59E9" w:rsidRDefault="00DE59E9" w:rsidP="00DE59E9">
            <w:pPr>
              <w:pStyle w:val="Akapitzlist"/>
              <w:widowControl/>
              <w:autoSpaceDE/>
              <w:autoSpaceDN/>
              <w:adjustRightInd/>
              <w:spacing w:after="120" w:line="360" w:lineRule="auto"/>
              <w:jc w:val="both"/>
              <w:rPr>
                <w:color w:val="FF0000"/>
              </w:rPr>
            </w:pPr>
            <w:r w:rsidRPr="00DE59E9">
              <w:rPr>
                <w:color w:val="FF0000"/>
              </w:rPr>
              <w:t>Odpo</w:t>
            </w:r>
            <w:r>
              <w:rPr>
                <w:color w:val="FF0000"/>
              </w:rPr>
              <w:t>wied</w:t>
            </w:r>
            <w:r w:rsidRPr="006E5117">
              <w:rPr>
                <w:color w:val="FF0000"/>
              </w:rPr>
              <w:t>ź</w:t>
            </w:r>
            <w:r w:rsidRPr="00DE59E9">
              <w:rPr>
                <w:color w:val="FF0000"/>
              </w:rPr>
              <w:t xml:space="preserve"> :</w:t>
            </w:r>
            <w:r>
              <w:rPr>
                <w:color w:val="FF0000"/>
              </w:rPr>
              <w:t xml:space="preserve"> Wolumen podlegający ochronie 46% , poza ochroną 54% </w:t>
            </w:r>
          </w:p>
          <w:p w:rsidR="00DE59E9" w:rsidRPr="0077554E" w:rsidRDefault="00DE59E9" w:rsidP="005A0254">
            <w:pPr>
              <w:pStyle w:val="Akapitzlist"/>
              <w:numPr>
                <w:ilvl w:val="0"/>
                <w:numId w:val="9"/>
              </w:numPr>
              <w:spacing w:line="360" w:lineRule="auto"/>
              <w:jc w:val="both"/>
            </w:pPr>
            <w:r w:rsidRPr="0077554E">
              <w:t xml:space="preserve">Czy Zamawiający jest świadomy, że dane przedstawione w postępowaniu przetargowym odnośnie ochrony taryfowej powinny być tożsame w 100 % z danymi przedstawionymi w oświadczeniach o ochronie taryfowej składanych przez Zamawiającego podczas zawierania umów? Wykonawca wskazuje, że oparciu o dane wskazane przez Zamawiającego, a dotyczące ochrony taryfowej Wykonawca dokonuje kalkulacji ceny w oparciu o TGE, a każda zmiana tych danych wiąże się z negatywnymi skutkami finansowymi dla Wykonawcy. W związku z powyższym Zamawiający ma obowiązek określić ilość paliwa gazowego zgodnie z treścią art. 62 </w:t>
            </w:r>
            <w:proofErr w:type="spellStart"/>
            <w:r w:rsidRPr="0077554E">
              <w:t>bb</w:t>
            </w:r>
            <w:proofErr w:type="spellEnd"/>
            <w:r w:rsidRPr="0077554E">
              <w:t xml:space="preserve"> ustawy w prawo energetyczne pod rygorem odpowiedzialności karnej . Ponadto zgodnie z cytowanym przepisem „Osoba działająca w imieniu i na rzecz odbiorcy, o którym mowa w ust. 1, która w oświadczeniu, o którym mowa w ust. 1, określi szacowaną część paliwa gazowego, która będzie zużywana na potrzeby, o których mowa w ust. 1 pkt 2 lit. b, w sposób rażąco sprzeczny z ust. 2, ponosi na zasadzie winy odpowiedzialność wobec </w:t>
            </w:r>
            <w:r w:rsidRPr="0077554E">
              <w:lastRenderedPageBreak/>
              <w:t>sprzedawcy paliw gazowych do kwoty stanowiącej iloczyn różnicy w cenie paliwa gazowego zawartej w cenniku sprzedawcy paliw gazowych a ceną w taryfie tego sprzedawcy oraz ilością paliwa gazowego zużytego na potrzeby, o których mowa w ust. 1 pkt 2 lit. b.</w:t>
            </w:r>
          </w:p>
          <w:p w:rsidR="00DE59E9" w:rsidRDefault="00DE59E9" w:rsidP="00DE59E9">
            <w:pPr>
              <w:pStyle w:val="Akapitzlist"/>
              <w:spacing w:line="360" w:lineRule="auto"/>
              <w:jc w:val="both"/>
            </w:pPr>
            <w:r w:rsidRPr="0077554E">
              <w:t>W przypadku gdy w dokumentacji przetargowej Zamawiający określił, że 100% wolumenu podlega ochronie taryfowej, natomiast w oświadczeniach o ochronie taryfowej składanych przez Zamawiającego podczas zawierania umów, Zamawiający zmienił wartości % wolumenu, wykazując również wolumen niepodlegający ochronie dla którego nie może być stosowana do rozliczeń cena paliwa gazowego oraz opłaty abonamentowej wynikająca z Taryfy Wykonawcy zatwierdzonej przez Prezesa URE, czy w takim Zamawiający wyraża zgodę, aby paliwo gazowe nie objęte ochroną taryfową było rozliczane wg obowiązującego Cennika Sprzedawcy na dzień dostawy paliwa gazowego?</w:t>
            </w:r>
          </w:p>
          <w:p w:rsidR="00DE59E9" w:rsidRDefault="00DE59E9" w:rsidP="00DE59E9">
            <w:pPr>
              <w:pStyle w:val="Akapitzlist"/>
              <w:spacing w:line="360" w:lineRule="auto"/>
              <w:jc w:val="both"/>
              <w:rPr>
                <w:color w:val="FF0000"/>
              </w:rPr>
            </w:pPr>
            <w:r w:rsidRPr="00DE59E9">
              <w:rPr>
                <w:color w:val="FF0000"/>
              </w:rPr>
              <w:t xml:space="preserve">Odpowiedź: Dane przedstawione w postępowaniu przetargowym odnośnie ochrony taryfowej są  w 100 % zgodne z danymi przedstawionymi w oświadczeniach o ochronie taryfowej składanych przez Zamawiającego podczas zawierania umowy. </w:t>
            </w:r>
            <w:r>
              <w:rPr>
                <w:color w:val="FF0000"/>
              </w:rPr>
              <w:t xml:space="preserve">Zgodnie z udzieloną odpowiedzią  do pkt 9 . </w:t>
            </w:r>
          </w:p>
          <w:p w:rsidR="00D24AAE" w:rsidRPr="0077554E" w:rsidRDefault="00D24AAE" w:rsidP="005A0254">
            <w:pPr>
              <w:pStyle w:val="Akapitzlist"/>
              <w:numPr>
                <w:ilvl w:val="0"/>
                <w:numId w:val="9"/>
              </w:numPr>
              <w:spacing w:line="360" w:lineRule="auto"/>
            </w:pPr>
            <w:r w:rsidRPr="0077554E">
              <w:t>Dotyczy §2 ust. 1 IPU</w:t>
            </w:r>
          </w:p>
          <w:p w:rsidR="00D24AAE" w:rsidRPr="0077554E" w:rsidRDefault="00D24AAE" w:rsidP="00D24AAE">
            <w:pPr>
              <w:pStyle w:val="Akapitzlist"/>
              <w:spacing w:line="360" w:lineRule="auto"/>
              <w:jc w:val="both"/>
              <w:rPr>
                <w:color w:val="000000" w:themeColor="text1"/>
              </w:rPr>
            </w:pPr>
            <w:r w:rsidRPr="0077554E">
              <w:rPr>
                <w:color w:val="000000" w:themeColor="text1"/>
              </w:rPr>
              <w:t xml:space="preserve">Czy Zamawiający jest świadomy, że warunkiem rozpoczęcia dostaw jest pozytywne zgłoszenie umów na kompleksową dostawę gazu ziemnego do Operatora Systemu Dystrybucyjnego i rozpoczęcie dostawy paliwa gazowego nastąpi zgodnie z zasadami i terminami wynikającymi z IRIESD PSG Sp. z o.o.? </w:t>
            </w:r>
          </w:p>
          <w:p w:rsidR="00D24AAE" w:rsidRPr="0077554E" w:rsidRDefault="00D24AAE" w:rsidP="00D24AAE">
            <w:pPr>
              <w:pStyle w:val="Akapitzlist"/>
              <w:spacing w:line="360" w:lineRule="auto"/>
              <w:jc w:val="both"/>
              <w:rPr>
                <w:color w:val="000000" w:themeColor="text1"/>
              </w:rPr>
            </w:pPr>
            <w:r w:rsidRPr="0077554E">
              <w:rPr>
                <w:color w:val="000000" w:themeColor="text1"/>
              </w:rPr>
              <w:t xml:space="preserve">Wykonawca wyjaśnia, że w przypadku zawarcia umowy kompleksowej należy ją zgłosić do realizacji Operatorowi Systemu Dystrybucyjnego. Koniecznym do rozpoczęcia dostaw paliwa gazowego jest złożenie tzw. Pojedynczego Zlecenia Dystrybucji zgodnie z terminami wynikającymi z </w:t>
            </w:r>
            <w:proofErr w:type="spellStart"/>
            <w:r w:rsidRPr="0077554E">
              <w:rPr>
                <w:color w:val="000000" w:themeColor="text1"/>
              </w:rPr>
              <w:t>IRiESD</w:t>
            </w:r>
            <w:proofErr w:type="spellEnd"/>
            <w:r w:rsidRPr="0077554E">
              <w:rPr>
                <w:color w:val="000000" w:themeColor="text1"/>
              </w:rPr>
              <w:t>, wspomniane powyżej zgłoszenie powinno zostać złożone przez Wykonawcę najpóźniej na 14 dni przed dniem rozpoczęciem sprzedaży paliwa gazowego.</w:t>
            </w:r>
          </w:p>
          <w:p w:rsidR="00D24AAE" w:rsidRPr="0077554E" w:rsidRDefault="00D24AAE" w:rsidP="00D24AAE">
            <w:pPr>
              <w:pStyle w:val="Akapitzlist"/>
              <w:spacing w:line="360" w:lineRule="auto"/>
              <w:jc w:val="both"/>
              <w:rPr>
                <w:color w:val="000000" w:themeColor="text1"/>
              </w:rPr>
            </w:pPr>
            <w:r w:rsidRPr="0077554E">
              <w:rPr>
                <w:color w:val="000000" w:themeColor="text1"/>
              </w:rPr>
              <w:t>W związku z powyższym Wykonawca prosi o dodanie nw. zapisu:</w:t>
            </w:r>
          </w:p>
          <w:p w:rsidR="00D24AAE" w:rsidRDefault="00D24AAE" w:rsidP="00D24AAE">
            <w:pPr>
              <w:pStyle w:val="Akapitzlist"/>
              <w:spacing w:line="360" w:lineRule="auto"/>
              <w:jc w:val="both"/>
              <w:rPr>
                <w:color w:val="000000" w:themeColor="text1"/>
              </w:rPr>
            </w:pPr>
            <w:r w:rsidRPr="0077554E">
              <w:rPr>
                <w:color w:val="000000" w:themeColor="text1"/>
              </w:rPr>
              <w:t>„…, warunkiem rozpoczęcia dostaw w ww. terminie jest pozytywne zgłoszenie umów na kompleksową dostawę gazu ziemnego do Operatora Systemu Dystrybucyjnego”.</w:t>
            </w:r>
          </w:p>
          <w:p w:rsidR="00D24AAE" w:rsidRPr="00D24AAE" w:rsidRDefault="00D24AAE" w:rsidP="00D24AAE">
            <w:pPr>
              <w:pStyle w:val="Akapitzlist"/>
              <w:spacing w:line="360" w:lineRule="auto"/>
              <w:jc w:val="both"/>
              <w:rPr>
                <w:color w:val="FF0000"/>
              </w:rPr>
            </w:pPr>
            <w:r w:rsidRPr="00D24AAE">
              <w:rPr>
                <w:color w:val="FF0000"/>
              </w:rPr>
              <w:t xml:space="preserve">Odpowiedź : Zapis skorygowano, w następującym brzmieniu : </w:t>
            </w:r>
          </w:p>
          <w:p w:rsidR="00D24AAE" w:rsidRPr="00D24AAE" w:rsidRDefault="00D24AAE" w:rsidP="00D24AAE">
            <w:pPr>
              <w:jc w:val="center"/>
              <w:rPr>
                <w:color w:val="FF0000"/>
              </w:rPr>
            </w:pPr>
            <w:r w:rsidRPr="00D24AAE">
              <w:rPr>
                <w:color w:val="FF0000"/>
              </w:rPr>
              <w:t xml:space="preserve"> §2</w:t>
            </w:r>
          </w:p>
          <w:p w:rsidR="00D24AAE" w:rsidRPr="00D24AAE" w:rsidRDefault="00D24AAE" w:rsidP="00D24AAE">
            <w:pPr>
              <w:jc w:val="center"/>
              <w:rPr>
                <w:color w:val="FF0000"/>
              </w:rPr>
            </w:pPr>
            <w:r w:rsidRPr="00D24AAE">
              <w:rPr>
                <w:color w:val="FF0000"/>
              </w:rPr>
              <w:t xml:space="preserve">  Termin realizacji zamówienia</w:t>
            </w:r>
          </w:p>
          <w:p w:rsidR="00D24AAE" w:rsidRDefault="00D24AAE" w:rsidP="005A0254">
            <w:pPr>
              <w:widowControl/>
              <w:autoSpaceDE/>
              <w:autoSpaceDN/>
              <w:adjustRightInd/>
              <w:spacing w:after="160" w:line="259" w:lineRule="auto"/>
              <w:ind w:left="720"/>
              <w:jc w:val="both"/>
              <w:rPr>
                <w:color w:val="FF0000"/>
              </w:rPr>
            </w:pPr>
            <w:r w:rsidRPr="00D24AAE">
              <w:rPr>
                <w:color w:val="FF0000"/>
              </w:rPr>
              <w:t>Zamówienie realizowane będzie od 01.01.2025 r. do 31.12.2025 r. Warunkiem rozpoczęcia realizacji zamówienia od 01.01.2025 r. jest pozytywne zgłoszenie umów na kompleksową dostawę gazu ziemnego do Operatora Systemu Dystrybucyjnego.</w:t>
            </w:r>
          </w:p>
          <w:p w:rsidR="00D24AAE" w:rsidRPr="0077554E" w:rsidRDefault="00D24AAE" w:rsidP="00D24AAE">
            <w:pPr>
              <w:spacing w:line="360" w:lineRule="auto"/>
              <w:jc w:val="both"/>
              <w:rPr>
                <w:color w:val="000000" w:themeColor="text1"/>
              </w:rPr>
            </w:pPr>
          </w:p>
          <w:p w:rsidR="00D24AAE" w:rsidRPr="0077554E" w:rsidRDefault="00D24AAE" w:rsidP="005A0254">
            <w:pPr>
              <w:pStyle w:val="Akapitzlist"/>
              <w:numPr>
                <w:ilvl w:val="0"/>
                <w:numId w:val="9"/>
              </w:numPr>
              <w:spacing w:line="360" w:lineRule="auto"/>
            </w:pPr>
            <w:r w:rsidRPr="0077554E">
              <w:t>Dotyczy §5 IPU</w:t>
            </w:r>
          </w:p>
          <w:p w:rsidR="00D24AAE" w:rsidRDefault="00D24AAE" w:rsidP="00D24AAE">
            <w:pPr>
              <w:pStyle w:val="Akapitzlist"/>
              <w:spacing w:line="360" w:lineRule="auto"/>
              <w:jc w:val="both"/>
              <w:rPr>
                <w:color w:val="000000" w:themeColor="text1"/>
              </w:rPr>
            </w:pPr>
            <w:r w:rsidRPr="0077554E">
              <w:rPr>
                <w:color w:val="000000" w:themeColor="text1"/>
              </w:rPr>
              <w:t xml:space="preserve">Wykonawca zwraca się z prośbą o zmianę zapisów umowy tak, aby zmiana ceny w przypadku zmiany stawki podatku VAT, tak samo jak stawki podatku akcyzowego oraz </w:t>
            </w:r>
            <w:r w:rsidRPr="0077554E">
              <w:rPr>
                <w:color w:val="000000" w:themeColor="text1"/>
              </w:rPr>
              <w:lastRenderedPageBreak/>
              <w:t>stawki opłat dystrybucyjnych Operatora Systemu Dystrybucyjnego obowiązywały od dnia wejścia w życie nowych przepisów i nie wymagały zgody Zamawiającego (aneksu). Przedmiotowe zmiany są wprowadzane na podstawie powszechnie obowiązujących przepisów prawa do stosowania których jest zobowiązany również Zamawiający. Stosowanie stawek podatku VAT, stawek opłat dystrybucyjnych Operatora Systemu Dystrybucyjnego czy podatku akcyzowego niezgodnych z obowiązującymi przepisami prawa jest naruszeniem powszechnie obowiązujących przepisów prawa. Ponadto niewyrażenie zgody na zmianę np. stawki podatku VAT naraża Wykonawcę na ryzyko związane z pokryciem różnicy wynikającej ze zmiany stawek i narusza zasadę równego traktowania stron postępowania.</w:t>
            </w:r>
          </w:p>
          <w:p w:rsidR="00D24AAE" w:rsidRPr="00D24AAE" w:rsidRDefault="00D24AAE" w:rsidP="00D24AAE">
            <w:pPr>
              <w:pStyle w:val="Akapitzlist"/>
              <w:spacing w:line="360" w:lineRule="auto"/>
              <w:jc w:val="both"/>
              <w:rPr>
                <w:color w:val="FF0000"/>
              </w:rPr>
            </w:pPr>
            <w:r>
              <w:rPr>
                <w:color w:val="000000" w:themeColor="text1"/>
              </w:rPr>
              <w:t xml:space="preserve">Odpowiedź : </w:t>
            </w:r>
            <w:r w:rsidRPr="00D24AAE">
              <w:rPr>
                <w:color w:val="FF0000"/>
              </w:rPr>
              <w:t xml:space="preserve">Zapis skorygowano, w następującym brzmieniu : </w:t>
            </w:r>
            <w:r>
              <w:rPr>
                <w:color w:val="FF0000"/>
              </w:rPr>
              <w:t xml:space="preserve">§ 5 pkt 1 .1 </w:t>
            </w:r>
          </w:p>
          <w:p w:rsidR="00D24AAE" w:rsidRDefault="00D24AAE" w:rsidP="00D24AAE">
            <w:pPr>
              <w:widowControl/>
              <w:autoSpaceDE/>
              <w:autoSpaceDN/>
              <w:adjustRightInd/>
              <w:spacing w:after="160" w:line="259" w:lineRule="auto"/>
              <w:ind w:left="567"/>
              <w:jc w:val="both"/>
              <w:rPr>
                <w:rFonts w:ascii="Garamond" w:hAnsi="Garamond"/>
                <w:sz w:val="24"/>
                <w:szCs w:val="24"/>
              </w:rPr>
            </w:pPr>
            <w:r w:rsidRPr="00D24AAE">
              <w:rPr>
                <w:rFonts w:ascii="Garamond" w:hAnsi="Garamond"/>
                <w:color w:val="FF0000"/>
                <w:sz w:val="24"/>
                <w:szCs w:val="24"/>
              </w:rPr>
              <w:t>zmiany stawki podatku VAT od towarów i usług , podatku akcyzowego oraz stawki opłat dystrybucyjnych OSD . Zmiana wysokości wynagrodzenia  należnego Wykonawcy będzie odnosić się wyłącznie do części umowy zrealizowanej od  dnia wejścia w życie przepisów zmieniających stawkę oraz nie będą wymagały zgody Zamawiającego (aneksu) . Wartość wynagrodzenia netto nie zmieni się, a wartość wynagrodzenia brutto zostanie  wyliczona na podstawie nowych przepisów po wcześniejszym powiadomieniu Zamawiającego przez Wykonawcę</w:t>
            </w:r>
            <w:r w:rsidRPr="000C1BE0">
              <w:rPr>
                <w:rFonts w:ascii="Garamond" w:hAnsi="Garamond"/>
                <w:sz w:val="24"/>
                <w:szCs w:val="24"/>
              </w:rPr>
              <w:t>.</w:t>
            </w:r>
          </w:p>
          <w:p w:rsidR="00D24AAE" w:rsidRPr="0077554E" w:rsidRDefault="00D24AAE" w:rsidP="005A0254">
            <w:pPr>
              <w:pStyle w:val="Akapitzlist"/>
              <w:numPr>
                <w:ilvl w:val="0"/>
                <w:numId w:val="9"/>
              </w:numPr>
              <w:spacing w:line="360" w:lineRule="auto"/>
            </w:pPr>
            <w:r w:rsidRPr="0077554E">
              <w:t>Dotyczy §5 ust. 2 pkt 1 IPU</w:t>
            </w:r>
          </w:p>
          <w:p w:rsidR="00D24AAE" w:rsidRPr="0077554E" w:rsidRDefault="00D24AAE" w:rsidP="00D24AAE">
            <w:pPr>
              <w:pStyle w:val="Akapitzlist"/>
              <w:spacing w:line="360" w:lineRule="auto"/>
              <w:jc w:val="both"/>
              <w:rPr>
                <w:color w:val="000000" w:themeColor="text1"/>
              </w:rPr>
            </w:pPr>
            <w:r w:rsidRPr="0077554E">
              <w:rPr>
                <w:color w:val="000000" w:themeColor="text1"/>
              </w:rPr>
              <w:t xml:space="preserve">Wykonawca prosi o doprecyzowanie zapisu, czy zmiana dotyczy dostaw w trakcie trwania umowy? Jeśli tak, to Wykonawca wnosi o zmianę w pkt – lit c) do </w:t>
            </w:r>
            <w:r w:rsidRPr="0077554E">
              <w:rPr>
                <w:b/>
                <w:color w:val="000000" w:themeColor="text1"/>
              </w:rPr>
              <w:t xml:space="preserve">+ 10% </w:t>
            </w:r>
            <w:r w:rsidRPr="0077554E">
              <w:rPr>
                <w:color w:val="000000" w:themeColor="text1"/>
              </w:rPr>
              <w:t xml:space="preserve">wolumenu względem zapotrzebowania podstawowego (zgodnie z zapisem IPU §5 ust. 2 pkt 5). </w:t>
            </w:r>
            <w:r w:rsidR="005A0254">
              <w:rPr>
                <w:color w:val="000000" w:themeColor="text1"/>
              </w:rPr>
              <w:t xml:space="preserve"> </w:t>
            </w:r>
          </w:p>
          <w:p w:rsidR="00D24AAE" w:rsidRDefault="00D24AAE" w:rsidP="00D24AAE">
            <w:pPr>
              <w:pStyle w:val="Akapitzlist"/>
              <w:spacing w:line="360" w:lineRule="auto"/>
              <w:jc w:val="both"/>
            </w:pPr>
            <w:r w:rsidRPr="0077554E">
              <w:rPr>
                <w:color w:val="000000" w:themeColor="text1"/>
              </w:rPr>
              <w:t xml:space="preserve">Jeśli zapis z </w:t>
            </w:r>
            <w:r w:rsidRPr="0077554E">
              <w:t>§5 ust. 2 pkt 1 dotyczy wydłużenia umowy, to Wykonawca prosi o modyfikację zapisu, iż zmiana może być wprowadzona wyłącznie aneksem, za zgodą obu stron.</w:t>
            </w:r>
          </w:p>
          <w:p w:rsidR="005A0254" w:rsidRPr="005A0254" w:rsidRDefault="00D24AAE" w:rsidP="005A0254">
            <w:pPr>
              <w:widowControl/>
              <w:autoSpaceDE/>
              <w:autoSpaceDN/>
              <w:adjustRightInd/>
              <w:spacing w:after="160" w:line="259" w:lineRule="auto"/>
              <w:ind w:left="567"/>
              <w:jc w:val="both"/>
              <w:rPr>
                <w:rFonts w:ascii="Garamond" w:hAnsi="Garamond"/>
                <w:color w:val="FF0000"/>
                <w:sz w:val="24"/>
                <w:szCs w:val="24"/>
              </w:rPr>
            </w:pPr>
            <w:r w:rsidRPr="005A0254">
              <w:rPr>
                <w:color w:val="FF0000"/>
              </w:rPr>
              <w:t>Odpowiedź :</w:t>
            </w:r>
            <w:r w:rsidR="005A0254" w:rsidRPr="0077554E">
              <w:rPr>
                <w:color w:val="000000" w:themeColor="text1"/>
              </w:rPr>
              <w:t xml:space="preserve"> </w:t>
            </w:r>
            <w:r w:rsidR="005A0254">
              <w:rPr>
                <w:color w:val="FF0000"/>
              </w:rPr>
              <w:t>P</w:t>
            </w:r>
            <w:r w:rsidR="005A0254" w:rsidRPr="005A0254">
              <w:rPr>
                <w:color w:val="FF0000"/>
              </w:rPr>
              <w:t>rzepis doprecyzowano  w pkt – lit c</w:t>
            </w:r>
          </w:p>
          <w:p w:rsidR="005A0254" w:rsidRPr="005A0254" w:rsidRDefault="00D24AAE" w:rsidP="005A0254">
            <w:pPr>
              <w:pStyle w:val="Akapitzlist"/>
              <w:widowControl/>
              <w:autoSpaceDE/>
              <w:autoSpaceDN/>
              <w:adjustRightInd/>
              <w:spacing w:after="160" w:line="259" w:lineRule="auto"/>
              <w:jc w:val="both"/>
              <w:rPr>
                <w:rFonts w:ascii="Garamond" w:hAnsi="Garamond"/>
                <w:color w:val="FF0000"/>
                <w:sz w:val="24"/>
                <w:szCs w:val="24"/>
              </w:rPr>
            </w:pPr>
            <w:r w:rsidRPr="005A0254">
              <w:rPr>
                <w:color w:val="FF0000"/>
              </w:rPr>
              <w:t xml:space="preserve"> </w:t>
            </w:r>
            <w:r w:rsidR="005A0254">
              <w:rPr>
                <w:color w:val="FF0000"/>
              </w:rPr>
              <w:t>„</w:t>
            </w:r>
            <w:r w:rsidR="005A0254" w:rsidRPr="005A0254">
              <w:rPr>
                <w:rFonts w:ascii="Garamond" w:hAnsi="Garamond"/>
                <w:color w:val="FF0000"/>
                <w:sz w:val="24"/>
                <w:szCs w:val="24"/>
              </w:rPr>
              <w:t>wartość każdej kolejnej zmiany nie przekracza 20% wartości zamówienia określonej pierwotnie w umowie;</w:t>
            </w:r>
            <w:r w:rsidR="005A0254">
              <w:rPr>
                <w:rFonts w:ascii="Garamond" w:hAnsi="Garamond"/>
                <w:color w:val="FF0000"/>
                <w:sz w:val="24"/>
                <w:szCs w:val="24"/>
              </w:rPr>
              <w:t>”</w:t>
            </w:r>
          </w:p>
          <w:p w:rsidR="005A0254" w:rsidRDefault="005A0254" w:rsidP="00D24AAE">
            <w:pPr>
              <w:pStyle w:val="Akapitzlist"/>
              <w:spacing w:line="360" w:lineRule="auto"/>
              <w:jc w:val="both"/>
              <w:rPr>
                <w:color w:val="FF0000"/>
              </w:rPr>
            </w:pPr>
          </w:p>
          <w:p w:rsidR="00D24AAE" w:rsidRPr="005A0254" w:rsidRDefault="00D24AAE" w:rsidP="00D24AAE">
            <w:pPr>
              <w:pStyle w:val="Akapitzlist"/>
              <w:spacing w:line="360" w:lineRule="auto"/>
              <w:jc w:val="both"/>
              <w:rPr>
                <w:color w:val="FF0000"/>
              </w:rPr>
            </w:pPr>
            <w:r w:rsidRPr="005A0254">
              <w:rPr>
                <w:color w:val="FF0000"/>
              </w:rPr>
              <w:t xml:space="preserve">Wprowadzono dodatkowy zapis </w:t>
            </w:r>
            <w:r w:rsidR="005A0254" w:rsidRPr="005A0254">
              <w:rPr>
                <w:color w:val="FF0000"/>
              </w:rPr>
              <w:t>pkt §5 pkt 2 ust d)</w:t>
            </w:r>
          </w:p>
          <w:p w:rsidR="005A0254" w:rsidRPr="005A0254" w:rsidRDefault="005A0254" w:rsidP="005A0254">
            <w:pPr>
              <w:pStyle w:val="Akapitzlist"/>
              <w:widowControl/>
              <w:autoSpaceDE/>
              <w:autoSpaceDN/>
              <w:adjustRightInd/>
              <w:spacing w:after="160" w:line="259" w:lineRule="auto"/>
              <w:jc w:val="both"/>
              <w:rPr>
                <w:rFonts w:ascii="Garamond" w:hAnsi="Garamond"/>
                <w:color w:val="FF0000"/>
                <w:sz w:val="24"/>
                <w:szCs w:val="24"/>
              </w:rPr>
            </w:pPr>
            <w:r>
              <w:rPr>
                <w:rFonts w:ascii="Garamond" w:hAnsi="Garamond"/>
                <w:color w:val="FF0000"/>
                <w:sz w:val="24"/>
                <w:szCs w:val="24"/>
              </w:rPr>
              <w:t>„</w:t>
            </w:r>
            <w:r w:rsidRPr="005A0254">
              <w:rPr>
                <w:rFonts w:ascii="Garamond" w:hAnsi="Garamond"/>
                <w:color w:val="FF0000"/>
                <w:sz w:val="24"/>
                <w:szCs w:val="24"/>
              </w:rPr>
              <w:t>zmiana może być wprowadzona wyłącznie aneksem do umowy , za zgodą</w:t>
            </w:r>
            <w:r>
              <w:rPr>
                <w:rFonts w:ascii="Garamond" w:hAnsi="Garamond"/>
                <w:color w:val="FF0000"/>
                <w:sz w:val="24"/>
                <w:szCs w:val="24"/>
              </w:rPr>
              <w:t xml:space="preserve"> obu stron.”</w:t>
            </w:r>
          </w:p>
          <w:p w:rsidR="005A0254" w:rsidRPr="0077554E" w:rsidRDefault="005A0254" w:rsidP="005A0254">
            <w:pPr>
              <w:pStyle w:val="Akapitzlist"/>
              <w:numPr>
                <w:ilvl w:val="0"/>
                <w:numId w:val="9"/>
              </w:numPr>
              <w:spacing w:line="360" w:lineRule="auto"/>
              <w:jc w:val="both"/>
              <w:rPr>
                <w:color w:val="000000" w:themeColor="text1"/>
              </w:rPr>
            </w:pPr>
            <w:r w:rsidRPr="0077554E">
              <w:t>Dotyczy załącznika nr 2 – Formularz Cenowy</w:t>
            </w:r>
          </w:p>
          <w:p w:rsidR="005A0254" w:rsidRDefault="005A0254" w:rsidP="005A0254">
            <w:pPr>
              <w:pStyle w:val="Akapitzlist"/>
              <w:spacing w:line="360" w:lineRule="auto"/>
              <w:jc w:val="both"/>
            </w:pPr>
            <w:r w:rsidRPr="0077554E">
              <w:t>Wykonawca prosi o poprawienie w tabeli 1 - Taryfa BZ 6  GŁÓWNY – ilości (kolumna 2) dla wyliczenia  opłaty sieciowej – stałej, ponieważ została błędnie wskazana.</w:t>
            </w:r>
          </w:p>
          <w:p w:rsidR="006065A0" w:rsidRDefault="006065A0" w:rsidP="005A0254">
            <w:pPr>
              <w:pStyle w:val="Akapitzlist"/>
              <w:spacing w:line="360" w:lineRule="auto"/>
              <w:jc w:val="both"/>
              <w:rPr>
                <w:color w:val="FF0000"/>
              </w:rPr>
            </w:pPr>
            <w:r w:rsidRPr="006065A0">
              <w:rPr>
                <w:color w:val="FF0000"/>
              </w:rPr>
              <w:t xml:space="preserve">Odpowiedź : W Formularzu cenowym kwota poprawiona z kwoty- 5.466 na kwotę prawidłową </w:t>
            </w:r>
            <w:r>
              <w:rPr>
                <w:color w:val="FF0000"/>
              </w:rPr>
              <w:t xml:space="preserve">- </w:t>
            </w:r>
            <w:r w:rsidRPr="006065A0">
              <w:rPr>
                <w:color w:val="FF0000"/>
                <w:u w:val="single"/>
              </w:rPr>
              <w:t>5.466240</w:t>
            </w:r>
            <w:r w:rsidRPr="006065A0">
              <w:rPr>
                <w:color w:val="FF0000"/>
              </w:rPr>
              <w:t xml:space="preserve"> </w:t>
            </w:r>
          </w:p>
          <w:p w:rsidR="006065A0" w:rsidRPr="006065A0" w:rsidRDefault="006065A0" w:rsidP="006065A0">
            <w:pPr>
              <w:pStyle w:val="Akapitzlist"/>
              <w:numPr>
                <w:ilvl w:val="0"/>
                <w:numId w:val="9"/>
              </w:numPr>
              <w:spacing w:line="360" w:lineRule="auto"/>
              <w:jc w:val="both"/>
              <w:rPr>
                <w:color w:val="000000" w:themeColor="text1"/>
              </w:rPr>
            </w:pPr>
            <w:r w:rsidRPr="0077554E">
              <w:t>Dotyczy załącznika nr 2 – Formularz Cenowy</w:t>
            </w:r>
          </w:p>
          <w:p w:rsidR="006065A0" w:rsidRDefault="006065A0" w:rsidP="006065A0">
            <w:pPr>
              <w:pStyle w:val="Akapitzlist"/>
              <w:spacing w:line="360" w:lineRule="auto"/>
              <w:jc w:val="both"/>
            </w:pPr>
            <w:r w:rsidRPr="0077554E">
              <w:t xml:space="preserve">Wykonawca prosi o poprawienie w tabeli 2 - Taryfa BZ  3.6 KUCHNIA B – ilości (kolumna 2) dla </w:t>
            </w:r>
            <w:r w:rsidRPr="0077554E">
              <w:rPr>
                <w:b/>
              </w:rPr>
              <w:t xml:space="preserve">wiersza „cena za paliwo gazowe (kWh) podlega ochronie </w:t>
            </w:r>
            <w:r w:rsidRPr="0077554E">
              <w:rPr>
                <w:b/>
              </w:rPr>
              <w:lastRenderedPageBreak/>
              <w:t>taryfowej”</w:t>
            </w:r>
            <w:r w:rsidRPr="0077554E">
              <w:t xml:space="preserve"> i „</w:t>
            </w:r>
            <w:r w:rsidRPr="0077554E">
              <w:rPr>
                <w:b/>
              </w:rPr>
              <w:t>cena za paliwo gazowe(kWh) nie podlega ochronie taryfowej”</w:t>
            </w:r>
            <w:r w:rsidRPr="0077554E">
              <w:t>, ponieważ po zsumowaniu mamy ilość 24 671 kWh, co jest niezgodne z OPZ oraz nie pokrywa się z ilością kWh wskazaną dla opłaty sieciowej zmiennej.</w:t>
            </w:r>
          </w:p>
          <w:p w:rsidR="006065A0" w:rsidRDefault="006065A0" w:rsidP="006065A0">
            <w:pPr>
              <w:pStyle w:val="Akapitzlist"/>
              <w:spacing w:line="360" w:lineRule="auto"/>
              <w:jc w:val="both"/>
              <w:rPr>
                <w:color w:val="FF0000"/>
              </w:rPr>
            </w:pPr>
            <w:r w:rsidRPr="006065A0">
              <w:rPr>
                <w:color w:val="FF0000"/>
              </w:rPr>
              <w:t xml:space="preserve">Odpowiedź: </w:t>
            </w:r>
            <w:r>
              <w:rPr>
                <w:color w:val="FF0000"/>
              </w:rPr>
              <w:t>W formularzu cenowym k</w:t>
            </w:r>
            <w:r w:rsidRPr="006065A0">
              <w:rPr>
                <w:color w:val="FF0000"/>
              </w:rPr>
              <w:t>woty zostały skorygo</w:t>
            </w:r>
            <w:r>
              <w:rPr>
                <w:color w:val="FF0000"/>
              </w:rPr>
              <w:t xml:space="preserve">wane wartościami po przecinku. </w:t>
            </w:r>
            <w:r w:rsidRPr="006065A0">
              <w:rPr>
                <w:color w:val="FF0000"/>
              </w:rPr>
              <w:t xml:space="preserve">W załączeniu </w:t>
            </w:r>
            <w:r>
              <w:rPr>
                <w:color w:val="FF0000"/>
              </w:rPr>
              <w:t xml:space="preserve">Formularz po korekcie. </w:t>
            </w:r>
          </w:p>
          <w:p w:rsidR="006065A0" w:rsidRDefault="006065A0" w:rsidP="006065A0">
            <w:pPr>
              <w:pStyle w:val="Akapitzlist"/>
              <w:spacing w:line="360" w:lineRule="auto"/>
              <w:jc w:val="both"/>
              <w:rPr>
                <w:color w:val="FF0000"/>
              </w:rPr>
            </w:pPr>
          </w:p>
          <w:p w:rsidR="006065A0" w:rsidRPr="006065A0" w:rsidRDefault="006065A0" w:rsidP="006065A0">
            <w:pPr>
              <w:pStyle w:val="Akapitzlist"/>
              <w:spacing w:line="360" w:lineRule="auto"/>
              <w:jc w:val="both"/>
              <w:rPr>
                <w:color w:val="FF0000"/>
              </w:rPr>
            </w:pPr>
          </w:p>
          <w:p w:rsidR="006065A0" w:rsidRPr="006065A0" w:rsidRDefault="006065A0" w:rsidP="005A0254">
            <w:pPr>
              <w:pStyle w:val="Akapitzlist"/>
              <w:spacing w:line="360" w:lineRule="auto"/>
              <w:jc w:val="both"/>
              <w:rPr>
                <w:color w:val="FF0000"/>
              </w:rPr>
            </w:pPr>
          </w:p>
          <w:p w:rsidR="007F7809" w:rsidRPr="006065A0" w:rsidRDefault="006065A0" w:rsidP="006065A0">
            <w:pPr>
              <w:spacing w:line="360" w:lineRule="auto"/>
            </w:pPr>
            <w:r w:rsidRPr="006065A0">
              <w:rPr>
                <w:rFonts w:ascii="Garamond" w:hAnsi="Garamond"/>
                <w:color w:val="FF0000"/>
                <w:sz w:val="24"/>
                <w:szCs w:val="24"/>
              </w:rPr>
              <w:t xml:space="preserve">                                            </w:t>
            </w:r>
            <w:r>
              <w:rPr>
                <w:rFonts w:ascii="Garamond" w:hAnsi="Garamond"/>
                <w:color w:val="FF0000"/>
                <w:sz w:val="24"/>
                <w:szCs w:val="24"/>
              </w:rPr>
              <w:t xml:space="preserve">                                                      </w:t>
            </w:r>
            <w:r w:rsidRPr="006065A0">
              <w:rPr>
                <w:rFonts w:ascii="Garamond" w:hAnsi="Garamond"/>
                <w:color w:val="FF0000"/>
                <w:sz w:val="24"/>
                <w:szCs w:val="24"/>
              </w:rPr>
              <w:t xml:space="preserve">   </w:t>
            </w:r>
            <w:r w:rsidR="00E253C4" w:rsidRPr="006065A0">
              <w:t>Z poważaniem</w:t>
            </w:r>
          </w:p>
          <w:p w:rsidR="006065A0" w:rsidRDefault="006065A0" w:rsidP="00F23981">
            <w:pPr>
              <w:spacing w:line="360" w:lineRule="auto"/>
              <w:ind w:left="3539" w:firstLine="709"/>
              <w:jc w:val="center"/>
            </w:pPr>
            <w:r>
              <w:t xml:space="preserve">        </w:t>
            </w:r>
            <w:r w:rsidR="00E253C4" w:rsidRPr="006065A0">
              <w:t xml:space="preserve">Lipnicka Sylwia Kier. </w:t>
            </w:r>
            <w:r w:rsidR="003217F3" w:rsidRPr="006065A0">
              <w:t>d</w:t>
            </w:r>
            <w:r w:rsidR="00E253C4" w:rsidRPr="006065A0">
              <w:t xml:space="preserve">s. zamówień    </w:t>
            </w:r>
            <w:r w:rsidR="003217F3" w:rsidRPr="006065A0">
              <w:t xml:space="preserve"> </w:t>
            </w:r>
            <w:r>
              <w:t xml:space="preserve">      </w:t>
            </w:r>
          </w:p>
          <w:p w:rsidR="00E253C4" w:rsidRPr="006065A0" w:rsidRDefault="006065A0" w:rsidP="00F23981">
            <w:pPr>
              <w:spacing w:line="360" w:lineRule="auto"/>
              <w:ind w:left="3539" w:firstLine="709"/>
              <w:jc w:val="center"/>
            </w:pPr>
            <w:r>
              <w:t xml:space="preserve">       </w:t>
            </w:r>
            <w:r w:rsidR="00E253C4" w:rsidRPr="006065A0">
              <w:t xml:space="preserve">publicznych </w:t>
            </w:r>
          </w:p>
          <w:p w:rsidR="007F7809" w:rsidRPr="009B03D3" w:rsidRDefault="007F7809" w:rsidP="00F23981">
            <w:pPr>
              <w:spacing w:line="360" w:lineRule="auto"/>
              <w:jc w:val="center"/>
            </w:pPr>
          </w:p>
        </w:tc>
      </w:tr>
    </w:tbl>
    <w:p w:rsidR="00E916AF" w:rsidRDefault="00E916AF"/>
    <w:sectPr w:rsidR="00E916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7CB"/>
    <w:multiLevelType w:val="hybridMultilevel"/>
    <w:tmpl w:val="BCA45C14"/>
    <w:lvl w:ilvl="0" w:tplc="8C60E46C">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F1A35"/>
    <w:multiLevelType w:val="hybridMultilevel"/>
    <w:tmpl w:val="3EC0CA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906178"/>
    <w:multiLevelType w:val="hybridMultilevel"/>
    <w:tmpl w:val="771A9A6E"/>
    <w:lvl w:ilvl="0" w:tplc="F15AC246">
      <w:start w:val="1"/>
      <w:numFmt w:val="decimal"/>
      <w:lvlText w:val="%1)"/>
      <w:lvlJc w:val="left"/>
      <w:pPr>
        <w:ind w:left="720" w:hanging="360"/>
      </w:pPr>
      <w:rPr>
        <w:rFonts w:ascii="Garamond" w:eastAsia="Calibri" w:hAnsi="Garamond"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AC01693"/>
    <w:multiLevelType w:val="hybridMultilevel"/>
    <w:tmpl w:val="27E030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C4175A"/>
    <w:multiLevelType w:val="hybridMultilevel"/>
    <w:tmpl w:val="12B06112"/>
    <w:lvl w:ilvl="0" w:tplc="D632E4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225A94"/>
    <w:multiLevelType w:val="hybridMultilevel"/>
    <w:tmpl w:val="2A489842"/>
    <w:lvl w:ilvl="0" w:tplc="C4FC726C">
      <w:start w:val="1"/>
      <w:numFmt w:val="decimal"/>
      <w:lvlText w:val="%1."/>
      <w:lvlJc w:val="left"/>
      <w:pPr>
        <w:ind w:left="720" w:hanging="36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022696D"/>
    <w:multiLevelType w:val="hybridMultilevel"/>
    <w:tmpl w:val="209A00AA"/>
    <w:lvl w:ilvl="0" w:tplc="FD1CB4AE">
      <w:start w:val="3"/>
      <w:numFmt w:val="lowerLetter"/>
      <w:lvlText w:val="%1)"/>
      <w:lvlJc w:val="left"/>
      <w:pPr>
        <w:ind w:left="927" w:hanging="360"/>
      </w:pPr>
      <w:rPr>
        <w:rFonts w:ascii="Arial" w:hAnsi="Arial" w:hint="default"/>
        <w:color w:val="FF0000"/>
        <w:sz w:val="2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6BF433E4"/>
    <w:multiLevelType w:val="hybridMultilevel"/>
    <w:tmpl w:val="AEB627CE"/>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90E6579"/>
    <w:multiLevelType w:val="hybridMultilevel"/>
    <w:tmpl w:val="855A50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2"/>
  </w:num>
  <w:num w:numId="6">
    <w:abstractNumId w:val="1"/>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809"/>
    <w:rsid w:val="00156491"/>
    <w:rsid w:val="003217F3"/>
    <w:rsid w:val="005A0254"/>
    <w:rsid w:val="005B14A9"/>
    <w:rsid w:val="006065A0"/>
    <w:rsid w:val="006A0AF2"/>
    <w:rsid w:val="006E5117"/>
    <w:rsid w:val="007F7809"/>
    <w:rsid w:val="00C862A6"/>
    <w:rsid w:val="00CE5B86"/>
    <w:rsid w:val="00D24AAE"/>
    <w:rsid w:val="00DE59E9"/>
    <w:rsid w:val="00E253C4"/>
    <w:rsid w:val="00E916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040D6-5D3D-4F44-BF0E-A5CF0580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7809"/>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
    <w:name w:val="adres"/>
    <w:basedOn w:val="Normalny"/>
    <w:rsid w:val="007F7809"/>
    <w:pPr>
      <w:widowControl/>
      <w:autoSpaceDE/>
      <w:autoSpaceDN/>
      <w:adjustRightInd/>
      <w:spacing w:line="280" w:lineRule="exact"/>
    </w:pPr>
    <w:rPr>
      <w:rFonts w:cs="Times New Roman"/>
      <w:szCs w:val="24"/>
    </w:rPr>
  </w:style>
  <w:style w:type="paragraph" w:customStyle="1" w:styleId="adresodbiorcy">
    <w:name w:val="adres odbiorcy"/>
    <w:basedOn w:val="adres"/>
    <w:rsid w:val="007F7809"/>
    <w:pPr>
      <w:jc w:val="right"/>
    </w:pPr>
  </w:style>
  <w:style w:type="paragraph" w:customStyle="1" w:styleId="Firma">
    <w:name w:val="Firma"/>
    <w:basedOn w:val="Normalny"/>
    <w:next w:val="Normalny"/>
    <w:rsid w:val="007F7809"/>
    <w:pPr>
      <w:widowControl/>
      <w:autoSpaceDE/>
      <w:autoSpaceDN/>
      <w:adjustRightInd/>
      <w:spacing w:line="320" w:lineRule="exact"/>
      <w:jc w:val="both"/>
    </w:pPr>
    <w:rPr>
      <w:rFonts w:cs="Times New Roman"/>
      <w:b/>
      <w:szCs w:val="24"/>
    </w:rPr>
  </w:style>
  <w:style w:type="paragraph" w:styleId="Nagwek">
    <w:name w:val="header"/>
    <w:basedOn w:val="Normalny"/>
    <w:link w:val="NagwekZnak"/>
    <w:uiPriority w:val="99"/>
    <w:unhideWhenUsed/>
    <w:rsid w:val="007F7809"/>
    <w:pPr>
      <w:tabs>
        <w:tab w:val="center" w:pos="4536"/>
        <w:tab w:val="right" w:pos="9072"/>
      </w:tabs>
    </w:pPr>
  </w:style>
  <w:style w:type="character" w:customStyle="1" w:styleId="NagwekZnak">
    <w:name w:val="Nagłówek Znak"/>
    <w:basedOn w:val="Domylnaczcionkaakapitu"/>
    <w:link w:val="Nagwek"/>
    <w:uiPriority w:val="99"/>
    <w:rsid w:val="007F7809"/>
    <w:rPr>
      <w:rFonts w:ascii="Arial" w:eastAsia="Times New Roman" w:hAnsi="Arial" w:cs="Arial"/>
      <w:sz w:val="20"/>
      <w:szCs w:val="20"/>
      <w:lang w:eastAsia="pl-PL"/>
    </w:rPr>
  </w:style>
  <w:style w:type="paragraph" w:styleId="Akapitzlist">
    <w:name w:val="List Paragraph"/>
    <w:aliases w:val="CW_Lista,Akapit z listą BS,normalny tekst,List Paragraph2,List Paragraph,maz_wyliczenie,opis dzialania,K-P_odwolanie,A_wyliczenie,Akapit z listą 1,L1,Numerowanie,Akapit z listą5,Nagłowek 3,Kolorowa lista — akcent 11,Dot pt,Preambuła,lp1"/>
    <w:basedOn w:val="Normalny"/>
    <w:link w:val="AkapitzlistZnak"/>
    <w:uiPriority w:val="34"/>
    <w:qFormat/>
    <w:rsid w:val="007F7809"/>
    <w:pPr>
      <w:ind w:left="720"/>
      <w:contextualSpacing/>
    </w:pPr>
  </w:style>
  <w:style w:type="character" w:customStyle="1" w:styleId="AkapitzlistZnak">
    <w:name w:val="Akapit z listą Znak"/>
    <w:aliases w:val="CW_Lista Znak,Akapit z listą BS Znak,normalny tekst Znak,List Paragraph2 Znak,List Paragraph Znak,maz_wyliczenie Znak,opis dzialania Znak,K-P_odwolanie Znak,A_wyliczenie Znak,Akapit z listą 1 Znak,L1 Znak,Numerowanie Znak,Dot pt Znak"/>
    <w:link w:val="Akapitzlist"/>
    <w:uiPriority w:val="34"/>
    <w:qFormat/>
    <w:locked/>
    <w:rsid w:val="007F7809"/>
    <w:rPr>
      <w:rFonts w:ascii="Arial" w:eastAsia="Times New Roman" w:hAnsi="Arial" w:cs="Arial"/>
      <w:sz w:val="20"/>
      <w:szCs w:val="20"/>
      <w:lang w:eastAsia="pl-PL"/>
    </w:rPr>
  </w:style>
  <w:style w:type="paragraph" w:styleId="Tekstdymka">
    <w:name w:val="Balloon Text"/>
    <w:basedOn w:val="Normalny"/>
    <w:link w:val="TekstdymkaZnak"/>
    <w:uiPriority w:val="99"/>
    <w:semiHidden/>
    <w:unhideWhenUsed/>
    <w:rsid w:val="00CE5B86"/>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5B86"/>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1502</Words>
  <Characters>9014</Characters>
  <Application>Microsoft Office Word</Application>
  <DocSecurity>0</DocSecurity>
  <Lines>75</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Lipnicka</dc:creator>
  <cp:keywords/>
  <dc:description/>
  <cp:lastModifiedBy>Sylwia Lipnicka</cp:lastModifiedBy>
  <cp:revision>2</cp:revision>
  <cp:lastPrinted>2023-11-28T12:26:00Z</cp:lastPrinted>
  <dcterms:created xsi:type="dcterms:W3CDTF">2024-12-18T10:58:00Z</dcterms:created>
  <dcterms:modified xsi:type="dcterms:W3CDTF">2024-12-18T10:58:00Z</dcterms:modified>
</cp:coreProperties>
</file>